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1E4E11" w:rsidRDefault="001E4E11"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E124D9">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r w:rsidR="00E124D9">
        <w:rPr>
          <w:rFonts w:ascii="Times New Roman" w:hAnsi="Times New Roman" w:cs="Times New Roman"/>
          <w:sz w:val="24"/>
          <w:szCs w:val="24"/>
        </w:rPr>
        <w:t xml:space="preserve"> </w:t>
      </w:r>
    </w:p>
    <w:p w:rsidR="00791F20" w:rsidRDefault="00791F20"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1E4E11"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3F1FB6">
        <w:rPr>
          <w:rFonts w:ascii="Times New Roman" w:hAnsi="Times New Roman" w:cs="Times New Roman"/>
          <w:sz w:val="24"/>
          <w:szCs w:val="24"/>
        </w:rPr>
        <w:t>«___» _________ 2015</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w:t>
      </w:r>
      <w:proofErr w:type="gramStart"/>
      <w:r w:rsidR="007840BD">
        <w:rPr>
          <w:rFonts w:ascii="Times New Roman" w:hAnsi="Times New Roman" w:cs="Times New Roman"/>
          <w:b/>
          <w:sz w:val="28"/>
          <w:szCs w:val="28"/>
        </w:rPr>
        <w:t>г</w:t>
      </w:r>
      <w:proofErr w:type="gramEnd"/>
      <w:r w:rsidR="007840BD">
        <w:rPr>
          <w:rFonts w:ascii="Times New Roman" w:hAnsi="Times New Roman" w:cs="Times New Roman"/>
          <w:b/>
          <w:sz w:val="28"/>
          <w:szCs w:val="28"/>
        </w:rPr>
        <w:t xml:space="preserve">. Данилов, ул. </w:t>
      </w:r>
      <w:r w:rsidR="00C562B5">
        <w:rPr>
          <w:rFonts w:ascii="Times New Roman" w:hAnsi="Times New Roman" w:cs="Times New Roman"/>
          <w:b/>
          <w:sz w:val="28"/>
          <w:szCs w:val="28"/>
        </w:rPr>
        <w:t>Карла Маркса, д. 29</w:t>
      </w:r>
      <w:r>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3F1FB6" w:rsidP="00DE776E">
      <w:pPr>
        <w:spacing w:after="0"/>
        <w:jc w:val="center"/>
        <w:rPr>
          <w:rFonts w:ascii="Times New Roman" w:hAnsi="Times New Roman" w:cs="Times New Roman"/>
          <w:b/>
        </w:rPr>
      </w:pPr>
      <w:r>
        <w:rPr>
          <w:rFonts w:ascii="Times New Roman" w:hAnsi="Times New Roman" w:cs="Times New Roman"/>
          <w:b/>
        </w:rPr>
        <w:t>2015</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3F1FB6" w:rsidRPr="00DE776E" w:rsidTr="00DD6676">
        <w:trPr>
          <w:trHeight w:val="2898"/>
        </w:trPr>
        <w:tc>
          <w:tcPr>
            <w:tcW w:w="5687"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1. Первый заместитель Главы  Администрации городского поселения Данилов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2. Заместитель Главы  Администрации по ЖКХ, градостроительству и городскому хозяйству</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городского поселения Данилов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3F1FB6" w:rsidRPr="003F1FB6" w:rsidRDefault="003F1FB6" w:rsidP="003F1FB6">
            <w:pPr>
              <w:spacing w:after="0" w:line="240" w:lineRule="auto"/>
              <w:rPr>
                <w:rFonts w:ascii="Times New Roman" w:hAnsi="Times New Roman" w:cs="Times New Roman"/>
                <w:color w:val="FF0000"/>
                <w:sz w:val="24"/>
                <w:szCs w:val="24"/>
              </w:rPr>
            </w:pPr>
            <w:r w:rsidRPr="003F1FB6">
              <w:rPr>
                <w:rFonts w:ascii="Times New Roman" w:hAnsi="Times New Roman" w:cs="Times New Roman"/>
                <w:color w:val="FF0000"/>
                <w:sz w:val="24"/>
                <w:szCs w:val="24"/>
              </w:rPr>
              <w:t xml:space="preserve"> </w:t>
            </w:r>
            <w:r w:rsidRPr="003F1FB6">
              <w:rPr>
                <w:rFonts w:ascii="Times New Roman" w:hAnsi="Times New Roman" w:cs="Times New Roman"/>
                <w:sz w:val="24"/>
                <w:szCs w:val="24"/>
              </w:rPr>
              <w:t>«_____» 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4. Начальник отдела по орг</w:t>
            </w:r>
            <w:proofErr w:type="gramStart"/>
            <w:r w:rsidRPr="003F1FB6">
              <w:rPr>
                <w:rFonts w:ascii="Times New Roman" w:hAnsi="Times New Roman" w:cs="Times New Roman"/>
                <w:sz w:val="24"/>
                <w:szCs w:val="24"/>
              </w:rPr>
              <w:t>.р</w:t>
            </w:r>
            <w:proofErr w:type="gramEnd"/>
            <w:r w:rsidRPr="003F1FB6">
              <w:rPr>
                <w:rFonts w:ascii="Times New Roman" w:hAnsi="Times New Roman" w:cs="Times New Roman"/>
                <w:sz w:val="24"/>
                <w:szCs w:val="24"/>
              </w:rPr>
              <w:t>аботе и общественным связям</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 _____________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tc>
        <w:tc>
          <w:tcPr>
            <w:tcW w:w="4069"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Смирнова  М.В.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roofErr w:type="spellStart"/>
            <w:r w:rsidRPr="003F1FB6">
              <w:rPr>
                <w:rFonts w:ascii="Times New Roman" w:hAnsi="Times New Roman" w:cs="Times New Roman"/>
                <w:sz w:val="24"/>
                <w:szCs w:val="24"/>
              </w:rPr>
              <w:t>Свечушкин</w:t>
            </w:r>
            <w:proofErr w:type="spellEnd"/>
            <w:r w:rsidRPr="003F1FB6">
              <w:rPr>
                <w:rFonts w:ascii="Times New Roman" w:hAnsi="Times New Roman" w:cs="Times New Roman"/>
                <w:sz w:val="24"/>
                <w:szCs w:val="24"/>
              </w:rPr>
              <w:t xml:space="preserve"> И.В.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Федорова В.Н.</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Чернова С.В.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tc>
      </w:tr>
    </w:tbl>
    <w:p w:rsidR="00DE776E" w:rsidRPr="00DE776E" w:rsidRDefault="00DE776E" w:rsidP="003F1FB6">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DE776E" w:rsidRPr="00AB4C97" w:rsidRDefault="00DE776E" w:rsidP="003F1FB6">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Наименование Уполномоченного органа, контактная информация</w:t>
            </w:r>
          </w:p>
        </w:tc>
        <w:tc>
          <w:tcPr>
            <w:tcW w:w="5160" w:type="dxa"/>
            <w:tcBorders>
              <w:top w:val="single" w:sz="4" w:space="0" w:color="auto"/>
              <w:left w:val="single" w:sz="4" w:space="0" w:color="auto"/>
              <w:bottom w:val="single" w:sz="4" w:space="0" w:color="auto"/>
              <w:right w:val="single" w:sz="4" w:space="0" w:color="auto"/>
            </w:tcBorders>
            <w:vAlign w:val="center"/>
          </w:tcPr>
          <w:p w:rsidR="00FA33B5" w:rsidRPr="00791F20" w:rsidRDefault="00FA33B5" w:rsidP="00FA33B5">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FA33B5" w:rsidRDefault="00FA33B5" w:rsidP="00FA33B5">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FA33B5" w:rsidRPr="00791F20" w:rsidRDefault="00FA33B5" w:rsidP="00FA33B5">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ул. </w:t>
            </w:r>
            <w:r>
              <w:rPr>
                <w:rFonts w:ascii="Times New Roman" w:hAnsi="Times New Roman" w:cs="Times New Roman"/>
                <w:sz w:val="24"/>
                <w:szCs w:val="24"/>
              </w:rPr>
              <w:t xml:space="preserve">Карла Маркса, 36. </w:t>
            </w:r>
            <w:r w:rsidRPr="00791F20">
              <w:rPr>
                <w:rFonts w:ascii="Times New Roman" w:hAnsi="Times New Roman" w:cs="Times New Roman"/>
                <w:sz w:val="24"/>
                <w:szCs w:val="24"/>
              </w:rPr>
              <w:t>Т</w:t>
            </w:r>
            <w:r>
              <w:rPr>
                <w:rFonts w:ascii="Times New Roman" w:hAnsi="Times New Roman" w:cs="Times New Roman"/>
                <w:sz w:val="24"/>
                <w:szCs w:val="24"/>
              </w:rPr>
              <w:t>елефон/факс: (48538) 5 – 12-99</w:t>
            </w:r>
          </w:p>
          <w:p w:rsidR="00FA33B5" w:rsidRDefault="00FA33B5" w:rsidP="00FA33B5">
            <w:pPr>
              <w:widowControl w:val="0"/>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Контактное лицо</w:t>
            </w:r>
            <w:r>
              <w:rPr>
                <w:rFonts w:ascii="Times New Roman" w:hAnsi="Times New Roman" w:cs="Times New Roman"/>
                <w:sz w:val="24"/>
                <w:szCs w:val="24"/>
              </w:rPr>
              <w:t>: Смирнова Марина Валерьевна</w:t>
            </w:r>
          </w:p>
          <w:p w:rsidR="003F1FB6" w:rsidRPr="003F1FB6" w:rsidRDefault="00FA33B5" w:rsidP="00FA33B5">
            <w:pPr>
              <w:widowControl w:val="0"/>
              <w:spacing w:after="0" w:line="240" w:lineRule="auto"/>
              <w:outlineLvl w:val="2"/>
              <w:rPr>
                <w:rFonts w:ascii="Times New Roman" w:hAnsi="Times New Roman" w:cs="Times New Roman"/>
                <w:color w:val="000000"/>
                <w:sz w:val="24"/>
                <w:szCs w:val="24"/>
              </w:rPr>
            </w:pPr>
            <w:r w:rsidRPr="00AB4C97">
              <w:rPr>
                <w:rFonts w:ascii="Times New Roman" w:hAnsi="Times New Roman" w:cs="Times New Roman"/>
                <w:sz w:val="24"/>
                <w:szCs w:val="24"/>
              </w:rPr>
              <w:t xml:space="preserve"> адрес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7F39C7" w:rsidRPr="00AB4C97" w:rsidTr="00DD6676">
        <w:tc>
          <w:tcPr>
            <w:tcW w:w="648" w:type="dxa"/>
            <w:vMerge w:val="restart"/>
            <w:tcBorders>
              <w:top w:val="single" w:sz="4" w:space="0" w:color="auto"/>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F39C7" w:rsidRPr="00BC7D5B" w:rsidRDefault="007F39C7" w:rsidP="00DD6676">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F39C7" w:rsidRPr="0065301F" w:rsidRDefault="007F39C7" w:rsidP="00DD6676">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sidR="003F1D1A">
              <w:rPr>
                <w:rFonts w:ascii="Times New Roman" w:hAnsi="Times New Roman" w:cs="Times New Roman"/>
                <w:sz w:val="24"/>
                <w:szCs w:val="24"/>
              </w:rPr>
              <w:t xml:space="preserve">в, ул. Карла Маркса, 36, </w:t>
            </w:r>
            <w:proofErr w:type="spellStart"/>
            <w:r w:rsidR="003F1D1A">
              <w:rPr>
                <w:rFonts w:ascii="Times New Roman" w:hAnsi="Times New Roman" w:cs="Times New Roman"/>
                <w:sz w:val="24"/>
                <w:szCs w:val="24"/>
              </w:rPr>
              <w:t>каб</w:t>
            </w:r>
            <w:proofErr w:type="spellEnd"/>
            <w:r w:rsidR="003F1D1A">
              <w:rPr>
                <w:rFonts w:ascii="Times New Roman" w:hAnsi="Times New Roman" w:cs="Times New Roman"/>
                <w:sz w:val="24"/>
                <w:szCs w:val="24"/>
              </w:rPr>
              <w:t>. 23</w:t>
            </w:r>
            <w:r w:rsidRPr="0065301F">
              <w:rPr>
                <w:rFonts w:ascii="Times New Roman" w:hAnsi="Times New Roman" w:cs="Times New Roman"/>
                <w:sz w:val="24"/>
                <w:szCs w:val="24"/>
              </w:rPr>
              <w:t>.</w:t>
            </w:r>
          </w:p>
        </w:tc>
      </w:tr>
      <w:tr w:rsidR="00CA1B24" w:rsidRPr="00AB4C97" w:rsidTr="00DD6676">
        <w:tc>
          <w:tcPr>
            <w:tcW w:w="648" w:type="dxa"/>
            <w:vMerge/>
            <w:tcBorders>
              <w:left w:val="single" w:sz="4" w:space="0" w:color="auto"/>
              <w:right w:val="single" w:sz="4" w:space="0" w:color="auto"/>
            </w:tcBorders>
          </w:tcPr>
          <w:p w:rsidR="00CA1B24" w:rsidRPr="00AB4C97" w:rsidRDefault="00CA1B24"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CA1B24" w:rsidRPr="0052106A" w:rsidRDefault="00CA1B24"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CA1B24" w:rsidRDefault="00CA1B24">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27.11.2015 года. 16 ч.00 мин. Время московское.</w:t>
            </w:r>
          </w:p>
        </w:tc>
      </w:tr>
      <w:tr w:rsidR="00CA1B24" w:rsidRPr="00AB4C97" w:rsidTr="00DD6676">
        <w:tc>
          <w:tcPr>
            <w:tcW w:w="648" w:type="dxa"/>
            <w:vMerge/>
            <w:tcBorders>
              <w:left w:val="single" w:sz="4" w:space="0" w:color="auto"/>
              <w:right w:val="single" w:sz="4" w:space="0" w:color="auto"/>
            </w:tcBorders>
          </w:tcPr>
          <w:p w:rsidR="00CA1B24" w:rsidRPr="00AB4C97" w:rsidRDefault="00CA1B24"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CA1B24" w:rsidRDefault="00CA1B24"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CA1B24" w:rsidRDefault="00CA1B24">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30.11.2015 года. 10 ч.00 мин. Время московское.</w:t>
            </w:r>
          </w:p>
        </w:tc>
      </w:tr>
      <w:tr w:rsidR="00CA1B24" w:rsidRPr="00AB4C97" w:rsidTr="00DD6676">
        <w:tc>
          <w:tcPr>
            <w:tcW w:w="648" w:type="dxa"/>
            <w:vMerge/>
            <w:tcBorders>
              <w:left w:val="single" w:sz="4" w:space="0" w:color="auto"/>
              <w:right w:val="single" w:sz="4" w:space="0" w:color="auto"/>
            </w:tcBorders>
          </w:tcPr>
          <w:p w:rsidR="00CA1B24" w:rsidRPr="00AB4C97" w:rsidRDefault="00CA1B24"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CA1B24" w:rsidRDefault="00CA1B24"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CA1B24" w:rsidRDefault="00CA1B24">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30.11.2015 года. 10 ч.00 мин. Время московское.</w:t>
            </w:r>
          </w:p>
        </w:tc>
      </w:tr>
      <w:tr w:rsidR="00CA1B24" w:rsidRPr="00AB4C97" w:rsidTr="00DD6676">
        <w:tc>
          <w:tcPr>
            <w:tcW w:w="648" w:type="dxa"/>
            <w:vMerge/>
            <w:tcBorders>
              <w:left w:val="single" w:sz="4" w:space="0" w:color="auto"/>
              <w:bottom w:val="single" w:sz="4" w:space="0" w:color="auto"/>
              <w:right w:val="single" w:sz="4" w:space="0" w:color="auto"/>
            </w:tcBorders>
          </w:tcPr>
          <w:p w:rsidR="00CA1B24" w:rsidRPr="00AB4C97" w:rsidRDefault="00CA1B24"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CA1B24" w:rsidRPr="00BC7D5B" w:rsidRDefault="00CA1B24"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CA1B24" w:rsidRDefault="00CA1B24">
            <w:pPr>
              <w:spacing w:after="0"/>
              <w:outlineLvl w:val="2"/>
              <w:rPr>
                <w:rFonts w:ascii="Times New Roman" w:hAnsi="Times New Roman" w:cs="Times New Roman"/>
                <w:sz w:val="24"/>
                <w:szCs w:val="24"/>
              </w:rPr>
            </w:pPr>
            <w:r>
              <w:rPr>
                <w:rFonts w:ascii="Times New Roman" w:hAnsi="Times New Roman" w:cs="Times New Roman"/>
                <w:sz w:val="24"/>
                <w:szCs w:val="24"/>
              </w:rPr>
              <w:t>03.12.2015 г. Время московское – 10ч. 00 мин.</w:t>
            </w:r>
          </w:p>
          <w:p w:rsidR="00CA1B24" w:rsidRDefault="00CA1B24">
            <w:pPr>
              <w:spacing w:after="0"/>
              <w:outlineLvl w:val="2"/>
              <w:rPr>
                <w:rFonts w:ascii="Times New Roman" w:hAnsi="Times New Roman" w:cs="Times New Roman"/>
                <w:sz w:val="24"/>
                <w:szCs w:val="24"/>
              </w:rPr>
            </w:pP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00B10F2E">
              <w:rPr>
                <w:rFonts w:ascii="Times New Roman" w:hAnsi="Times New Roman" w:cs="Times New Roman"/>
                <w:sz w:val="24"/>
                <w:szCs w:val="24"/>
              </w:rPr>
              <w:t>, 10 ч.00 мин.</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 д. 29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DE776E" w:rsidP="002B7369">
            <w:pPr>
              <w:tabs>
                <w:tab w:val="left" w:pos="13325"/>
                <w:tab w:val="left" w:pos="13467"/>
              </w:tabs>
              <w:spacing w:after="0"/>
              <w:ind w:right="176"/>
              <w:rPr>
                <w:rFonts w:ascii="Times New Roman" w:hAnsi="Times New Roman" w:cs="Times New Roman"/>
                <w:b/>
                <w:i/>
                <w:sz w:val="24"/>
                <w:szCs w:val="24"/>
              </w:rPr>
            </w:pPr>
            <w:r w:rsidRPr="007F39C7">
              <w:rPr>
                <w:rFonts w:ascii="Times New Roman" w:hAnsi="Times New Roman" w:cs="Times New Roman"/>
                <w:b/>
                <w:sz w:val="24"/>
                <w:szCs w:val="24"/>
              </w:rPr>
              <w:t xml:space="preserve"> </w:t>
            </w:r>
            <w:r w:rsidRPr="006B6A7C">
              <w:rPr>
                <w:rFonts w:ascii="Times New Roman" w:hAnsi="Times New Roman" w:cs="Times New Roman"/>
                <w:b/>
                <w:i/>
                <w:sz w:val="24"/>
                <w:szCs w:val="24"/>
              </w:rPr>
              <w:t xml:space="preserve">– </w:t>
            </w:r>
            <w:r w:rsidR="003F1D1A">
              <w:rPr>
                <w:rFonts w:ascii="Times New Roman" w:hAnsi="Times New Roman" w:cs="Times New Roman"/>
                <w:b/>
                <w:i/>
                <w:sz w:val="24"/>
                <w:szCs w:val="24"/>
              </w:rPr>
              <w:t xml:space="preserve">96 106,92 </w:t>
            </w:r>
            <w:r w:rsidR="00B3598F" w:rsidRPr="006B6A7C">
              <w:rPr>
                <w:rFonts w:ascii="Times New Roman" w:hAnsi="Times New Roman" w:cs="Times New Roman"/>
                <w:b/>
                <w:i/>
                <w:sz w:val="24"/>
                <w:szCs w:val="24"/>
              </w:rPr>
              <w:t>руб. (</w:t>
            </w:r>
            <w:r w:rsidR="003F1D1A">
              <w:rPr>
                <w:rFonts w:ascii="Times New Roman" w:hAnsi="Times New Roman" w:cs="Times New Roman"/>
                <w:b/>
                <w:i/>
                <w:sz w:val="24"/>
                <w:szCs w:val="24"/>
              </w:rPr>
              <w:t>девяносто</w:t>
            </w:r>
            <w:r w:rsidR="006B6A7C" w:rsidRPr="006B6A7C">
              <w:rPr>
                <w:rFonts w:ascii="Times New Roman" w:hAnsi="Times New Roman" w:cs="Times New Roman"/>
                <w:b/>
                <w:i/>
                <w:sz w:val="24"/>
                <w:szCs w:val="24"/>
              </w:rPr>
              <w:t xml:space="preserve"> шесть</w:t>
            </w:r>
            <w:r w:rsidR="001518F7" w:rsidRPr="006B6A7C">
              <w:rPr>
                <w:rFonts w:ascii="Times New Roman" w:hAnsi="Times New Roman" w:cs="Times New Roman"/>
                <w:b/>
                <w:i/>
                <w:sz w:val="24"/>
                <w:szCs w:val="24"/>
              </w:rPr>
              <w:t xml:space="preserve"> тысяч </w:t>
            </w:r>
            <w:r w:rsidR="003F1D1A">
              <w:rPr>
                <w:rFonts w:ascii="Times New Roman" w:hAnsi="Times New Roman" w:cs="Times New Roman"/>
                <w:b/>
                <w:i/>
                <w:sz w:val="24"/>
                <w:szCs w:val="24"/>
              </w:rPr>
              <w:t>сто шесть</w:t>
            </w:r>
            <w:r w:rsidR="006B6A7C" w:rsidRPr="006B6A7C">
              <w:rPr>
                <w:rFonts w:ascii="Times New Roman" w:hAnsi="Times New Roman" w:cs="Times New Roman"/>
                <w:b/>
                <w:i/>
                <w:sz w:val="24"/>
                <w:szCs w:val="24"/>
              </w:rPr>
              <w:t xml:space="preserve">  рублей </w:t>
            </w:r>
            <w:r w:rsidR="003F1D1A">
              <w:rPr>
                <w:rFonts w:ascii="Times New Roman" w:hAnsi="Times New Roman" w:cs="Times New Roman"/>
                <w:b/>
                <w:i/>
                <w:sz w:val="24"/>
                <w:szCs w:val="24"/>
              </w:rPr>
              <w:t>92 копей</w:t>
            </w:r>
            <w:r w:rsidR="001518F7" w:rsidRPr="006B6A7C">
              <w:rPr>
                <w:rFonts w:ascii="Times New Roman" w:hAnsi="Times New Roman" w:cs="Times New Roman"/>
                <w:b/>
                <w:i/>
                <w:sz w:val="24"/>
                <w:szCs w:val="24"/>
              </w:rPr>
              <w:t>к</w:t>
            </w:r>
            <w:r w:rsidR="003F1D1A">
              <w:rPr>
                <w:rFonts w:ascii="Times New Roman" w:hAnsi="Times New Roman" w:cs="Times New Roman"/>
                <w:b/>
                <w:i/>
                <w:sz w:val="24"/>
                <w:szCs w:val="24"/>
              </w:rPr>
              <w:t>и</w:t>
            </w:r>
            <w:r w:rsidR="001518F7" w:rsidRPr="006B6A7C">
              <w:rPr>
                <w:rFonts w:ascii="Times New Roman" w:hAnsi="Times New Roman" w:cs="Times New Roman"/>
                <w:b/>
                <w:i/>
                <w:sz w:val="24"/>
                <w:szCs w:val="24"/>
              </w:rPr>
              <w:t>)</w:t>
            </w:r>
            <w:r w:rsidR="003F1D1A">
              <w:rPr>
                <w:rFonts w:ascii="Times New Roman" w:hAnsi="Times New Roman" w:cs="Times New Roman"/>
                <w:b/>
                <w:i/>
                <w:sz w:val="24"/>
                <w:szCs w:val="24"/>
              </w:rPr>
              <w:t>.</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w:t>
            </w:r>
            <w:r w:rsidRPr="00AB4C97">
              <w:rPr>
                <w:rFonts w:ascii="Times New Roman" w:hAnsi="Times New Roman" w:cs="Times New Roman"/>
                <w:sz w:val="24"/>
                <w:szCs w:val="24"/>
              </w:rPr>
              <w:lastRenderedPageBreak/>
              <w:t xml:space="preserve">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3F1D1A">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3F1D1A">
              <w:rPr>
                <w:rFonts w:ascii="Times New Roman" w:hAnsi="Times New Roman" w:cs="Times New Roman"/>
                <w:b/>
                <w:i/>
                <w:sz w:val="24"/>
                <w:szCs w:val="24"/>
              </w:rPr>
              <w:t>4805,35</w:t>
            </w:r>
            <w:r w:rsidR="00361E0E" w:rsidRPr="006B6A7C">
              <w:rPr>
                <w:rFonts w:ascii="Times New Roman" w:hAnsi="Times New Roman" w:cs="Times New Roman"/>
                <w:b/>
                <w:i/>
                <w:sz w:val="24"/>
                <w:szCs w:val="24"/>
              </w:rPr>
              <w:t xml:space="preserve"> руб. (</w:t>
            </w:r>
            <w:r w:rsidR="003F1D1A">
              <w:rPr>
                <w:rFonts w:ascii="Times New Roman" w:hAnsi="Times New Roman" w:cs="Times New Roman"/>
                <w:b/>
                <w:i/>
                <w:sz w:val="24"/>
                <w:szCs w:val="24"/>
              </w:rPr>
              <w:t>четыре</w:t>
            </w:r>
            <w:r w:rsidR="00361E0E" w:rsidRPr="006B6A7C">
              <w:rPr>
                <w:rFonts w:ascii="Times New Roman" w:hAnsi="Times New Roman" w:cs="Times New Roman"/>
                <w:b/>
                <w:i/>
                <w:sz w:val="24"/>
                <w:szCs w:val="24"/>
              </w:rPr>
              <w:t xml:space="preserve"> тысяч</w:t>
            </w:r>
            <w:r w:rsidR="003F1D1A">
              <w:rPr>
                <w:rFonts w:ascii="Times New Roman" w:hAnsi="Times New Roman" w:cs="Times New Roman"/>
                <w:b/>
                <w:i/>
                <w:sz w:val="24"/>
                <w:szCs w:val="24"/>
              </w:rPr>
              <w:t>и</w:t>
            </w:r>
            <w:r w:rsidR="00361E0E" w:rsidRPr="006B6A7C">
              <w:rPr>
                <w:rFonts w:ascii="Times New Roman" w:hAnsi="Times New Roman" w:cs="Times New Roman"/>
                <w:b/>
                <w:i/>
                <w:sz w:val="24"/>
                <w:szCs w:val="24"/>
              </w:rPr>
              <w:t xml:space="preserve"> </w:t>
            </w:r>
            <w:r w:rsidR="003F1D1A">
              <w:rPr>
                <w:rFonts w:ascii="Times New Roman" w:hAnsi="Times New Roman" w:cs="Times New Roman"/>
                <w:b/>
                <w:i/>
                <w:sz w:val="24"/>
                <w:szCs w:val="24"/>
              </w:rPr>
              <w:t>восемьсот пять рублей 35</w:t>
            </w:r>
            <w:r w:rsidR="006B6A7C" w:rsidRPr="006B6A7C">
              <w:rPr>
                <w:rFonts w:ascii="Times New Roman" w:hAnsi="Times New Roman" w:cs="Times New Roman"/>
                <w:b/>
                <w:i/>
                <w:sz w:val="24"/>
                <w:szCs w:val="24"/>
              </w:rPr>
              <w:t xml:space="preserve"> </w:t>
            </w:r>
            <w:r w:rsidR="003F1D1A">
              <w:rPr>
                <w:rFonts w:ascii="Times New Roman" w:hAnsi="Times New Roman" w:cs="Times New Roman"/>
                <w:b/>
                <w:i/>
                <w:sz w:val="24"/>
                <w:szCs w:val="24"/>
              </w:rPr>
              <w:t>копее</w:t>
            </w:r>
            <w:r w:rsidR="00361E0E" w:rsidRPr="006B6A7C">
              <w:rPr>
                <w:rFonts w:ascii="Times New Roman" w:hAnsi="Times New Roman" w:cs="Times New Roman"/>
                <w:b/>
                <w:i/>
                <w:sz w:val="24"/>
                <w:szCs w:val="24"/>
              </w:rPr>
              <w:t>к)</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 xml:space="preserve">с даты </w:t>
            </w:r>
            <w:r w:rsidRPr="00AB4C97">
              <w:rPr>
                <w:rFonts w:ascii="Times New Roman" w:hAnsi="Times New Roman" w:cs="Times New Roman"/>
                <w:sz w:val="24"/>
                <w:szCs w:val="24"/>
              </w:rPr>
              <w:lastRenderedPageBreak/>
              <w:t>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Pr="006C05C0" w:rsidRDefault="00BC4C0C" w:rsidP="006C05C0">
            <w:pPr>
              <w:spacing w:line="240" w:lineRule="auto"/>
              <w:ind w:firstLine="284"/>
              <w:jc w:val="both"/>
              <w:rPr>
                <w:rFonts w:ascii="Times New Roman" w:hAnsi="Times New Roman" w:cs="Times New Roman"/>
                <w:sz w:val="24"/>
                <w:szCs w:val="24"/>
              </w:rPr>
            </w:pPr>
            <w:proofErr w:type="gramStart"/>
            <w:r w:rsidRPr="006C05C0">
              <w:rPr>
                <w:rFonts w:ascii="Times New Roman" w:hAnsi="Times New Roman" w:cs="Times New Roman"/>
                <w:b/>
                <w:i/>
                <w:sz w:val="24"/>
                <w:szCs w:val="24"/>
              </w:rPr>
              <w:t xml:space="preserve">Сумма </w:t>
            </w:r>
            <w:r w:rsidR="003F1D1A">
              <w:rPr>
                <w:rFonts w:ascii="Times New Roman" w:hAnsi="Times New Roman" w:cs="Times New Roman"/>
                <w:b/>
                <w:i/>
                <w:sz w:val="24"/>
                <w:szCs w:val="24"/>
              </w:rPr>
              <w:t>14 416,04</w:t>
            </w:r>
            <w:r w:rsidRPr="006C05C0">
              <w:rPr>
                <w:rFonts w:ascii="Times New Roman" w:hAnsi="Times New Roman" w:cs="Times New Roman"/>
                <w:b/>
                <w:i/>
                <w:sz w:val="24"/>
                <w:szCs w:val="24"/>
              </w:rPr>
              <w:t xml:space="preserve"> руб</w:t>
            </w:r>
            <w:r w:rsidRPr="006C05C0">
              <w:rPr>
                <w:rFonts w:ascii="Times New Roman" w:hAnsi="Times New Roman" w:cs="Times New Roman"/>
                <w:sz w:val="24"/>
                <w:szCs w:val="24"/>
              </w:rPr>
              <w:t>. (</w:t>
            </w:r>
            <w:r w:rsidR="003F1D1A">
              <w:rPr>
                <w:rFonts w:ascii="Times New Roman" w:hAnsi="Times New Roman" w:cs="Times New Roman"/>
                <w:sz w:val="24"/>
                <w:szCs w:val="24"/>
              </w:rPr>
              <w:t>четырнадцать</w:t>
            </w:r>
            <w:r w:rsidRPr="006C05C0">
              <w:rPr>
                <w:rFonts w:ascii="Times New Roman" w:hAnsi="Times New Roman" w:cs="Times New Roman"/>
                <w:sz w:val="24"/>
                <w:szCs w:val="24"/>
              </w:rPr>
              <w:t xml:space="preserve"> тысяч </w:t>
            </w:r>
            <w:r w:rsidR="003F1D1A">
              <w:rPr>
                <w:rFonts w:ascii="Times New Roman" w:hAnsi="Times New Roman" w:cs="Times New Roman"/>
                <w:sz w:val="24"/>
                <w:szCs w:val="24"/>
              </w:rPr>
              <w:t>четыреста шестнадцать рублей, 04 копей</w:t>
            </w:r>
            <w:r w:rsidRPr="006C05C0">
              <w:rPr>
                <w:rFonts w:ascii="Times New Roman" w:hAnsi="Times New Roman" w:cs="Times New Roman"/>
                <w:sz w:val="24"/>
                <w:szCs w:val="24"/>
              </w:rPr>
              <w:t>к</w:t>
            </w:r>
            <w:r w:rsidR="003F1D1A">
              <w:rPr>
                <w:rFonts w:ascii="Times New Roman" w:hAnsi="Times New Roman" w:cs="Times New Roman"/>
                <w:sz w:val="24"/>
                <w:szCs w:val="24"/>
              </w:rPr>
              <w:t>и</w:t>
            </w:r>
            <w:r w:rsidRPr="006C05C0">
              <w:rPr>
                <w:rFonts w:ascii="Times New Roman" w:hAnsi="Times New Roman" w:cs="Times New Roman"/>
                <w:sz w:val="24"/>
                <w:szCs w:val="24"/>
              </w:rPr>
              <w:t>)</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6C05C0" w:rsidRPr="006C05C0" w:rsidRDefault="006C05C0" w:rsidP="006C05C0">
            <w:pPr>
              <w:spacing w:after="0" w:line="240" w:lineRule="auto"/>
              <w:ind w:firstLine="284"/>
              <w:jc w:val="both"/>
              <w:rPr>
                <w:rFonts w:ascii="Times New Roman" w:hAnsi="Times New Roman" w:cs="Times New Roman"/>
                <w:color w:val="FF0000"/>
                <w:sz w:val="24"/>
                <w:szCs w:val="24"/>
              </w:rPr>
            </w:pPr>
            <w:r w:rsidRPr="006C05C0">
              <w:rPr>
                <w:rFonts w:ascii="Times New Roman" w:hAnsi="Times New Roman" w:cs="Times New Roman"/>
                <w:sz w:val="24"/>
                <w:szCs w:val="24"/>
              </w:rPr>
              <w:t xml:space="preserve">  Способ обеспечения исполнения Контракта определяется участником закупки, с которым </w:t>
            </w:r>
            <w:r w:rsidRPr="006C05C0">
              <w:rPr>
                <w:rFonts w:ascii="Times New Roman" w:hAnsi="Times New Roman" w:cs="Times New Roman"/>
                <w:sz w:val="24"/>
                <w:szCs w:val="24"/>
              </w:rPr>
              <w:lastRenderedPageBreak/>
              <w:t>заключается Контракт, самостоятельно.</w:t>
            </w:r>
          </w:p>
          <w:p w:rsidR="006C05C0" w:rsidRP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 xml:space="preserve">В случае </w:t>
            </w:r>
            <w:proofErr w:type="spellStart"/>
            <w:r w:rsidRPr="006C05C0">
              <w:rPr>
                <w:rFonts w:ascii="Times New Roman" w:hAnsi="Times New Roman" w:cs="Times New Roman"/>
                <w:sz w:val="24"/>
                <w:szCs w:val="24"/>
              </w:rPr>
              <w:t>непредоставления</w:t>
            </w:r>
            <w:proofErr w:type="spellEnd"/>
            <w:r w:rsidRPr="006C05C0">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C05C0" w:rsidRPr="006C05C0" w:rsidRDefault="006C05C0" w:rsidP="006C05C0">
            <w:pPr>
              <w:spacing w:after="0" w:line="240" w:lineRule="auto"/>
              <w:jc w:val="both"/>
              <w:rPr>
                <w:rFonts w:ascii="Times New Roman" w:hAnsi="Times New Roman" w:cs="Times New Roman"/>
                <w:b/>
                <w:sz w:val="24"/>
                <w:szCs w:val="24"/>
              </w:rPr>
            </w:pPr>
            <w:r w:rsidRPr="006C05C0">
              <w:rPr>
                <w:rFonts w:ascii="Times New Roman" w:hAnsi="Times New Roman" w:cs="Times New Roman"/>
                <w:b/>
                <w:sz w:val="24"/>
                <w:szCs w:val="24"/>
              </w:rPr>
              <w:t>Реквизиты для перечисления обеспечения:</w:t>
            </w:r>
          </w:p>
          <w:p w:rsidR="00DF4C31"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Банк получателя</w:t>
            </w:r>
            <w:r w:rsidRPr="00FC35E0">
              <w:rPr>
                <w:rFonts w:ascii="Times New Roman" w:hAnsi="Times New Roman" w:cs="Times New Roman"/>
                <w:sz w:val="24"/>
                <w:szCs w:val="24"/>
              </w:rPr>
              <w:t xml:space="preserve">: Отделение Ярославль, </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sz w:val="24"/>
                <w:szCs w:val="24"/>
              </w:rPr>
              <w:t>г.</w:t>
            </w:r>
            <w:r w:rsidR="00DF4C31">
              <w:rPr>
                <w:rFonts w:ascii="Times New Roman" w:hAnsi="Times New Roman" w:cs="Times New Roman"/>
                <w:sz w:val="24"/>
                <w:szCs w:val="24"/>
              </w:rPr>
              <w:t xml:space="preserve"> </w:t>
            </w:r>
            <w:r w:rsidRPr="00FC35E0">
              <w:rPr>
                <w:rFonts w:ascii="Times New Roman" w:hAnsi="Times New Roman" w:cs="Times New Roman"/>
                <w:sz w:val="24"/>
                <w:szCs w:val="24"/>
              </w:rPr>
              <w:t>Ярославль</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БИК банка</w:t>
            </w:r>
            <w:r w:rsidRPr="00FC35E0">
              <w:rPr>
                <w:rFonts w:ascii="Times New Roman" w:hAnsi="Times New Roman" w:cs="Times New Roman"/>
                <w:sz w:val="24"/>
                <w:szCs w:val="24"/>
              </w:rPr>
              <w:t>: 047888670</w:t>
            </w:r>
          </w:p>
          <w:p w:rsidR="00FC35E0" w:rsidRPr="00FC35E0" w:rsidRDefault="00FC35E0" w:rsidP="00FC35E0">
            <w:pPr>
              <w:autoSpaceDE w:val="0"/>
              <w:autoSpaceDN w:val="0"/>
              <w:adjustRightInd w:val="0"/>
              <w:spacing w:after="0" w:line="240" w:lineRule="auto"/>
              <w:ind w:left="400" w:hanging="400"/>
              <w:rPr>
                <w:rFonts w:ascii="Times New Roman" w:hAnsi="Times New Roman" w:cs="Times New Roman"/>
                <w:sz w:val="24"/>
                <w:szCs w:val="24"/>
              </w:rPr>
            </w:pPr>
            <w:r w:rsidRPr="00FC35E0">
              <w:rPr>
                <w:rFonts w:ascii="Times New Roman" w:hAnsi="Times New Roman" w:cs="Times New Roman"/>
                <w:b/>
                <w:sz w:val="24"/>
                <w:szCs w:val="24"/>
              </w:rPr>
              <w:t>Корсчет</w:t>
            </w:r>
            <w:r w:rsidRPr="00FC35E0">
              <w:rPr>
                <w:rFonts w:ascii="Times New Roman" w:hAnsi="Times New Roman" w:cs="Times New Roman"/>
                <w:sz w:val="24"/>
                <w:szCs w:val="24"/>
              </w:rPr>
              <w:t>: 30101810500000000670</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Расчетный счет</w:t>
            </w:r>
            <w:r w:rsidRPr="00FC35E0">
              <w:rPr>
                <w:rFonts w:ascii="Times New Roman" w:hAnsi="Times New Roman" w:cs="Times New Roman"/>
                <w:sz w:val="24"/>
                <w:szCs w:val="24"/>
              </w:rPr>
              <w:t>: 40302810177030013014</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Получатель</w:t>
            </w:r>
            <w:r w:rsidRPr="00FC35E0">
              <w:rPr>
                <w:rFonts w:ascii="Times New Roman" w:hAnsi="Times New Roman" w:cs="Times New Roman"/>
                <w:sz w:val="24"/>
                <w:szCs w:val="24"/>
              </w:rPr>
              <w:t>: Отдел финансов Администрации городского поселения Данилов (Администрация городского поселения Данилов  лицевой счет 701010017)</w:t>
            </w:r>
          </w:p>
          <w:p w:rsidR="00FC35E0" w:rsidRPr="00FC35E0" w:rsidRDefault="00FC35E0" w:rsidP="00FC35E0">
            <w:pPr>
              <w:pStyle w:val="a8"/>
              <w:spacing w:before="0" w:after="0"/>
              <w:jc w:val="both"/>
              <w:rPr>
                <w:rFonts w:ascii="Times New Roman" w:hAnsi="Times New Roman" w:cs="Times New Roman"/>
              </w:rPr>
            </w:pPr>
            <w:r w:rsidRPr="00FC35E0">
              <w:rPr>
                <w:rFonts w:ascii="Times New Roman" w:hAnsi="Times New Roman" w:cs="Times New Roman"/>
                <w:b/>
              </w:rPr>
              <w:t xml:space="preserve">ИНН получателя </w:t>
            </w:r>
            <w:r w:rsidRPr="00FC35E0">
              <w:rPr>
                <w:rFonts w:ascii="Times New Roman" w:hAnsi="Times New Roman" w:cs="Times New Roman"/>
              </w:rPr>
              <w:t xml:space="preserve"> 7617007270</w:t>
            </w:r>
          </w:p>
          <w:p w:rsidR="00FC35E0" w:rsidRPr="00C017D4" w:rsidRDefault="00FC35E0" w:rsidP="00FC35E0">
            <w:pPr>
              <w:pStyle w:val="a8"/>
              <w:spacing w:before="0" w:after="0"/>
              <w:jc w:val="both"/>
              <w:rPr>
                <w:rFonts w:ascii="Times New Roman" w:hAnsi="Times New Roman" w:cs="Times New Roman"/>
              </w:rPr>
            </w:pPr>
            <w:r w:rsidRPr="00FC35E0">
              <w:rPr>
                <w:rFonts w:ascii="Times New Roman" w:hAnsi="Times New Roman" w:cs="Times New Roman"/>
                <w:b/>
              </w:rPr>
              <w:t xml:space="preserve">КПП получателя </w:t>
            </w:r>
            <w:r w:rsidRPr="00FC35E0">
              <w:rPr>
                <w:rFonts w:ascii="Times New Roman" w:hAnsi="Times New Roman" w:cs="Times New Roman"/>
              </w:rPr>
              <w:t xml:space="preserve"> 761701001</w:t>
            </w:r>
          </w:p>
          <w:p w:rsidR="00627491" w:rsidRPr="00BC4C0C" w:rsidRDefault="00627491" w:rsidP="00BC4C0C">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Pr>
                <w:rFonts w:ascii="Times New Roman" w:hAnsi="Times New Roman" w:cs="Times New Roman"/>
                <w:sz w:val="24"/>
                <w:szCs w:val="24"/>
              </w:rPr>
              <w:t>Карла Маркса</w:t>
            </w:r>
            <w:r w:rsidRPr="00BB5FCE">
              <w:rPr>
                <w:rFonts w:ascii="Times New Roman" w:hAnsi="Times New Roman" w:cs="Times New Roman"/>
                <w:sz w:val="24"/>
                <w:szCs w:val="24"/>
              </w:rPr>
              <w:t xml:space="preserve">, </w:t>
            </w:r>
            <w:r>
              <w:rPr>
                <w:rFonts w:ascii="Times New Roman" w:hAnsi="Times New Roman" w:cs="Times New Roman"/>
                <w:sz w:val="24"/>
                <w:szCs w:val="24"/>
              </w:rPr>
              <w:t>д. 29</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w:t>
            </w:r>
            <w:r w:rsidRPr="00AB4C97">
              <w:rPr>
                <w:rFonts w:ascii="Times New Roman" w:hAnsi="Times New Roman" w:cs="Times New Roman"/>
                <w:sz w:val="24"/>
                <w:szCs w:val="24"/>
              </w:rPr>
              <w:lastRenderedPageBreak/>
              <w:t>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Банк получателя</w:t>
            </w:r>
            <w:r w:rsidRPr="00BB5FCE">
              <w:rPr>
                <w:rFonts w:ascii="Times New Roman" w:hAnsi="Times New Roman" w:cs="Times New Roman"/>
                <w:sz w:val="24"/>
                <w:szCs w:val="24"/>
              </w:rPr>
              <w:t>: Северный банк Сбербанка России ОАО г.</w:t>
            </w:r>
            <w:r w:rsidR="00A01F31">
              <w:rPr>
                <w:rFonts w:ascii="Times New Roman" w:hAnsi="Times New Roman" w:cs="Times New Roman"/>
                <w:sz w:val="24"/>
                <w:szCs w:val="24"/>
              </w:rPr>
              <w:t xml:space="preserve"> </w:t>
            </w:r>
            <w:r w:rsidRPr="00BB5FCE">
              <w:rPr>
                <w:rFonts w:ascii="Times New Roman" w:hAnsi="Times New Roman" w:cs="Times New Roman"/>
                <w:sz w:val="24"/>
                <w:szCs w:val="24"/>
              </w:rPr>
              <w:t>Ярославль</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БИК банка</w:t>
            </w:r>
            <w:r w:rsidRPr="00BB5FCE">
              <w:rPr>
                <w:rFonts w:ascii="Times New Roman" w:hAnsi="Times New Roman" w:cs="Times New Roman"/>
                <w:sz w:val="24"/>
                <w:szCs w:val="24"/>
              </w:rPr>
              <w:t>: 047888670</w:t>
            </w:r>
          </w:p>
          <w:p w:rsidR="00DE776E" w:rsidRPr="00BB5FCE" w:rsidRDefault="00DE776E" w:rsidP="00FA001E">
            <w:pPr>
              <w:autoSpaceDE w:val="0"/>
              <w:autoSpaceDN w:val="0"/>
              <w:adjustRightInd w:val="0"/>
              <w:ind w:left="400" w:hanging="400"/>
              <w:rPr>
                <w:rFonts w:ascii="Times New Roman" w:hAnsi="Times New Roman" w:cs="Times New Roman"/>
                <w:sz w:val="24"/>
                <w:szCs w:val="24"/>
              </w:rPr>
            </w:pPr>
            <w:proofErr w:type="spellStart"/>
            <w:r w:rsidRPr="00BB5FCE">
              <w:rPr>
                <w:rFonts w:ascii="Times New Roman" w:hAnsi="Times New Roman" w:cs="Times New Roman"/>
                <w:b/>
                <w:sz w:val="24"/>
                <w:szCs w:val="24"/>
              </w:rPr>
              <w:t>Кор</w:t>
            </w:r>
            <w:proofErr w:type="gramStart"/>
            <w:r w:rsidRPr="00BB5FCE">
              <w:rPr>
                <w:rFonts w:ascii="Times New Roman" w:hAnsi="Times New Roman" w:cs="Times New Roman"/>
                <w:b/>
                <w:sz w:val="24"/>
                <w:szCs w:val="24"/>
              </w:rPr>
              <w:t>.с</w:t>
            </w:r>
            <w:proofErr w:type="gramEnd"/>
            <w:r w:rsidRPr="00BB5FCE">
              <w:rPr>
                <w:rFonts w:ascii="Times New Roman" w:hAnsi="Times New Roman" w:cs="Times New Roman"/>
                <w:b/>
                <w:sz w:val="24"/>
                <w:szCs w:val="24"/>
              </w:rPr>
              <w:t>чет</w:t>
            </w:r>
            <w:proofErr w:type="spellEnd"/>
            <w:r w:rsidRPr="00BB5FCE">
              <w:rPr>
                <w:rFonts w:ascii="Times New Roman" w:hAnsi="Times New Roman" w:cs="Times New Roman"/>
                <w:sz w:val="24"/>
                <w:szCs w:val="24"/>
              </w:rPr>
              <w:t>: 30101810500000000670</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Расчетный счет</w:t>
            </w:r>
            <w:r w:rsidRPr="00BB5FCE">
              <w:rPr>
                <w:rFonts w:ascii="Times New Roman" w:hAnsi="Times New Roman" w:cs="Times New Roman"/>
                <w:sz w:val="24"/>
                <w:szCs w:val="24"/>
              </w:rPr>
              <w:t>: 40302810177030013014</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Получатель</w:t>
            </w:r>
            <w:r w:rsidRPr="00BB5FCE">
              <w:rPr>
                <w:rFonts w:ascii="Times New Roman" w:hAnsi="Times New Roman" w:cs="Times New Roman"/>
                <w:sz w:val="24"/>
                <w:szCs w:val="24"/>
              </w:rPr>
              <w:t xml:space="preserve">: </w:t>
            </w:r>
            <w:r w:rsidR="00FC35E0">
              <w:rPr>
                <w:rFonts w:ascii="Times New Roman" w:hAnsi="Times New Roman" w:cs="Times New Roman"/>
                <w:sz w:val="24"/>
                <w:szCs w:val="24"/>
              </w:rPr>
              <w:t xml:space="preserve">Отдел финансов, </w:t>
            </w:r>
            <w:r w:rsidRPr="00BB5FCE">
              <w:rPr>
                <w:rFonts w:ascii="Times New Roman" w:hAnsi="Times New Roman" w:cs="Times New Roman"/>
                <w:sz w:val="24"/>
                <w:szCs w:val="24"/>
              </w:rPr>
              <w:t>экономики</w:t>
            </w:r>
            <w:r w:rsidR="00FC35E0">
              <w:rPr>
                <w:rFonts w:ascii="Times New Roman" w:hAnsi="Times New Roman" w:cs="Times New Roman"/>
                <w:sz w:val="24"/>
                <w:szCs w:val="24"/>
              </w:rPr>
              <w:t xml:space="preserve"> и стратегического развития </w:t>
            </w:r>
            <w:r w:rsidRPr="00BB5FCE">
              <w:rPr>
                <w:rFonts w:ascii="Times New Roman" w:hAnsi="Times New Roman" w:cs="Times New Roman"/>
                <w:sz w:val="24"/>
                <w:szCs w:val="24"/>
              </w:rPr>
              <w:t xml:space="preserve"> Администрации городского поселения Данилов (</w:t>
            </w:r>
            <w:r w:rsidR="004A7ABE">
              <w:rPr>
                <w:rFonts w:ascii="Times New Roman" w:hAnsi="Times New Roman" w:cs="Times New Roman"/>
                <w:sz w:val="24"/>
                <w:szCs w:val="24"/>
              </w:rPr>
              <w:t>Администрация городского поселения Данилов</w:t>
            </w:r>
            <w:r w:rsidRPr="00BB5FCE">
              <w:rPr>
                <w:rFonts w:ascii="Times New Roman" w:hAnsi="Times New Roman" w:cs="Times New Roman"/>
                <w:sz w:val="24"/>
                <w:szCs w:val="24"/>
              </w:rPr>
              <w:t xml:space="preserve"> лицевой счет </w:t>
            </w:r>
            <w:r w:rsidR="002B7369" w:rsidRPr="00BB5FCE">
              <w:rPr>
                <w:rFonts w:ascii="Times New Roman" w:hAnsi="Times New Roman" w:cs="Times New Roman"/>
                <w:sz w:val="24"/>
                <w:szCs w:val="24"/>
              </w:rPr>
              <w:t>701010017</w:t>
            </w:r>
            <w:r w:rsidRPr="00BB5FCE">
              <w:rPr>
                <w:rFonts w:ascii="Times New Roman" w:hAnsi="Times New Roman" w:cs="Times New Roman"/>
                <w:sz w:val="24"/>
                <w:szCs w:val="24"/>
              </w:rPr>
              <w:t>)</w:t>
            </w:r>
          </w:p>
          <w:p w:rsidR="00DE776E" w:rsidRPr="00BB5FCE" w:rsidRDefault="00DE776E" w:rsidP="00FA001E">
            <w:pPr>
              <w:pStyle w:val="a8"/>
              <w:rPr>
                <w:rFonts w:ascii="Times New Roman" w:hAnsi="Times New Roman" w:cs="Times New Roman"/>
                <w:color w:val="auto"/>
              </w:rPr>
            </w:pPr>
            <w:r w:rsidRPr="00BB5FCE">
              <w:rPr>
                <w:rFonts w:ascii="Times New Roman" w:hAnsi="Times New Roman" w:cs="Times New Roman"/>
                <w:b/>
                <w:color w:val="auto"/>
              </w:rPr>
              <w:t xml:space="preserve">ИНН получателя </w:t>
            </w:r>
            <w:r w:rsidRPr="00BB5FCE">
              <w:rPr>
                <w:rFonts w:ascii="Times New Roman" w:hAnsi="Times New Roman" w:cs="Times New Roman"/>
                <w:color w:val="auto"/>
              </w:rPr>
              <w:t xml:space="preserve"> 7617007792 </w:t>
            </w:r>
            <w:r w:rsidRPr="00BB5FCE">
              <w:rPr>
                <w:rFonts w:ascii="Times New Roman" w:hAnsi="Times New Roman" w:cs="Times New Roman"/>
                <w:b/>
                <w:color w:val="auto"/>
              </w:rPr>
              <w:t xml:space="preserve">КПП получателя </w:t>
            </w:r>
            <w:r w:rsidRPr="00BB5FCE">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w:t>
            </w:r>
            <w:r w:rsidR="00BB5FCE" w:rsidRPr="00BB5FCE">
              <w:rPr>
                <w:rFonts w:ascii="Times New Roman" w:hAnsi="Times New Roman" w:cs="Times New Roman"/>
                <w:sz w:val="24"/>
                <w:szCs w:val="24"/>
              </w:rPr>
              <w:t xml:space="preserve">, </w:t>
            </w:r>
            <w:r w:rsidR="00436A54">
              <w:rPr>
                <w:rFonts w:ascii="Times New Roman" w:hAnsi="Times New Roman" w:cs="Times New Roman"/>
                <w:sz w:val="24"/>
                <w:szCs w:val="24"/>
              </w:rPr>
              <w:t>д. 29</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436A54">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436A54">
              <w:rPr>
                <w:rFonts w:ascii="Times New Roman" w:hAnsi="Times New Roman" w:cs="Times New Roman"/>
                <w:sz w:val="24"/>
                <w:szCs w:val="24"/>
              </w:rPr>
              <w:t>Карла Маркса, д. 29</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436A54" w:rsidRPr="00081B8E">
              <w:rPr>
                <w:rFonts w:ascii="Times New Roman" w:hAnsi="Times New Roman" w:cs="Times New Roman"/>
                <w:sz w:val="24"/>
                <w:szCs w:val="24"/>
                <w:highlight w:val="yellow"/>
              </w:rPr>
              <w:t>Карла Маркса, д. 29</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ул. Карла Маркса, д. 29</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18</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B4A85">
        <w:rPr>
          <w:rFonts w:ascii="Times New Roman" w:hAnsi="Times New Roman" w:cs="Times New Roman"/>
          <w:sz w:val="24"/>
          <w:szCs w:val="24"/>
        </w:rPr>
        <w:t>710,64</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B4A85">
        <w:rPr>
          <w:rFonts w:ascii="Times New Roman" w:hAnsi="Times New Roman" w:cs="Times New Roman"/>
          <w:sz w:val="24"/>
          <w:szCs w:val="24"/>
        </w:rPr>
        <w:t>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w:t>
      </w:r>
      <w:proofErr w:type="gramStart"/>
      <w:r w:rsidRPr="001518F7">
        <w:rPr>
          <w:rFonts w:ascii="Times New Roman" w:hAnsi="Times New Roman" w:cs="Times New Roman"/>
          <w:sz w:val="22"/>
          <w:szCs w:val="22"/>
        </w:rPr>
        <w:t>и-</w:t>
      </w:r>
      <w:proofErr w:type="gramEnd"/>
      <w:r w:rsidRPr="001518F7">
        <w:rPr>
          <w:rFonts w:ascii="Times New Roman" w:hAnsi="Times New Roman" w:cs="Times New Roman"/>
          <w:sz w:val="22"/>
          <w:szCs w:val="22"/>
        </w:rPr>
        <w:t xml:space="preserve">  _______</w:t>
      </w:r>
      <w:r w:rsidR="00DB4A85">
        <w:rPr>
          <w:rFonts w:ascii="Times New Roman" w:hAnsi="Times New Roman" w:cs="Times New Roman"/>
          <w:sz w:val="22"/>
          <w:szCs w:val="22"/>
        </w:rPr>
        <w:t xml:space="preserve"> </w:t>
      </w:r>
      <w:r w:rsidRPr="001518F7">
        <w:rPr>
          <w:rFonts w:ascii="Times New Roman" w:hAnsi="Times New Roman" w:cs="Times New Roman"/>
          <w:sz w:val="22"/>
          <w:szCs w:val="22"/>
        </w:rPr>
        <w:t>л.;</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w:t>
      </w:r>
      <w:proofErr w:type="gramStart"/>
      <w:r w:rsidRPr="001518F7">
        <w:rPr>
          <w:rFonts w:ascii="Times New Roman" w:hAnsi="Times New Roman" w:cs="Times New Roman"/>
          <w:b w:val="0"/>
        </w:rPr>
        <w:t>а-</w:t>
      </w:r>
      <w:proofErr w:type="gramEnd"/>
      <w:r w:rsidRPr="001518F7">
        <w:rPr>
          <w:rFonts w:ascii="Times New Roman" w:hAnsi="Times New Roman" w:cs="Times New Roman"/>
          <w:b w:val="0"/>
        </w:rPr>
        <w:t xml:space="preserve">  _______</w:t>
      </w:r>
      <w:r w:rsidR="00DB4A85">
        <w:rPr>
          <w:rFonts w:ascii="Times New Roman" w:hAnsi="Times New Roman" w:cs="Times New Roman"/>
          <w:b w:val="0"/>
        </w:rPr>
        <w:t xml:space="preserve"> </w:t>
      </w:r>
      <w:r w:rsidRPr="001518F7">
        <w:rPr>
          <w:rFonts w:ascii="Times New Roman" w:hAnsi="Times New Roman" w:cs="Times New Roman"/>
          <w:b w:val="0"/>
        </w:rPr>
        <w:t>л.;</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w:t>
      </w:r>
      <w:proofErr w:type="gramStart"/>
      <w:r w:rsidRPr="001518F7">
        <w:rPr>
          <w:rFonts w:ascii="Times New Roman" w:hAnsi="Times New Roman"/>
          <w:color w:val="000000"/>
          <w:spacing w:val="-1"/>
        </w:rPr>
        <w:t>а</w:t>
      </w:r>
      <w:r w:rsidRPr="001518F7">
        <w:rPr>
          <w:rFonts w:ascii="Times New Roman" w:hAnsi="Times New Roman"/>
        </w:rPr>
        <w:t>-</w:t>
      </w:r>
      <w:proofErr w:type="gramEnd"/>
      <w:r w:rsidRPr="001518F7">
        <w:rPr>
          <w:rFonts w:ascii="Times New Roman" w:hAnsi="Times New Roman"/>
        </w:rPr>
        <w:t xml:space="preserve">  _______</w:t>
      </w:r>
      <w:r w:rsidR="00DB4A85">
        <w:rPr>
          <w:rFonts w:ascii="Times New Roman" w:hAnsi="Times New Roman"/>
        </w:rPr>
        <w:t xml:space="preserve"> </w:t>
      </w:r>
      <w:r w:rsidRPr="001518F7">
        <w:rPr>
          <w:rFonts w:ascii="Times New Roman" w:hAnsi="Times New Roman"/>
        </w:rPr>
        <w:t>л.</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ул. Карла Маркса, д. 29</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B4A85">
        <w:rPr>
          <w:rFonts w:ascii="Times New Roman" w:hAnsi="Times New Roman" w:cs="Times New Roman"/>
          <w:sz w:val="24"/>
          <w:szCs w:val="24"/>
        </w:rPr>
        <w:t>18</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710,64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lastRenderedPageBreak/>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Pr="00994392" w:rsidRDefault="00994392"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04061E">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Дератизаци</w:t>
            </w:r>
            <w:proofErr w:type="gramStart"/>
            <w:r w:rsidRPr="00E231A5">
              <w:rPr>
                <w:rFonts w:ascii="Times New Roman" w:hAnsi="Times New Roman" w:cs="Times New Roman"/>
              </w:rPr>
              <w:t>я-</w:t>
            </w:r>
            <w:proofErr w:type="gramEnd"/>
            <w:r w:rsidRPr="00E231A5">
              <w:rPr>
                <w:rFonts w:ascii="Times New Roman" w:hAnsi="Times New Roman" w:cs="Times New Roman"/>
              </w:rPr>
              <w:t xml:space="preserve">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04061E">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81B8E"/>
    <w:rsid w:val="000B208F"/>
    <w:rsid w:val="000C229B"/>
    <w:rsid w:val="000D19D0"/>
    <w:rsid w:val="000F54BC"/>
    <w:rsid w:val="000F6A11"/>
    <w:rsid w:val="001046B0"/>
    <w:rsid w:val="00132066"/>
    <w:rsid w:val="00140B8A"/>
    <w:rsid w:val="001518F7"/>
    <w:rsid w:val="00165837"/>
    <w:rsid w:val="001E4E11"/>
    <w:rsid w:val="00210831"/>
    <w:rsid w:val="002155B9"/>
    <w:rsid w:val="00245C11"/>
    <w:rsid w:val="002461AD"/>
    <w:rsid w:val="00270F9C"/>
    <w:rsid w:val="002A1B2E"/>
    <w:rsid w:val="002A6C4A"/>
    <w:rsid w:val="002B47B7"/>
    <w:rsid w:val="002B7369"/>
    <w:rsid w:val="002D7C10"/>
    <w:rsid w:val="002E5C8B"/>
    <w:rsid w:val="00300F5D"/>
    <w:rsid w:val="00306A29"/>
    <w:rsid w:val="003447DD"/>
    <w:rsid w:val="00361E0E"/>
    <w:rsid w:val="00370337"/>
    <w:rsid w:val="003B4BB4"/>
    <w:rsid w:val="003D0043"/>
    <w:rsid w:val="003D0C9D"/>
    <w:rsid w:val="003F1D1A"/>
    <w:rsid w:val="003F1FB6"/>
    <w:rsid w:val="003F449D"/>
    <w:rsid w:val="00432D5A"/>
    <w:rsid w:val="00436A54"/>
    <w:rsid w:val="0046066D"/>
    <w:rsid w:val="00494629"/>
    <w:rsid w:val="004A6F96"/>
    <w:rsid w:val="004A7ABE"/>
    <w:rsid w:val="004B5AEB"/>
    <w:rsid w:val="004F46BD"/>
    <w:rsid w:val="00506377"/>
    <w:rsid w:val="005114D0"/>
    <w:rsid w:val="0052106A"/>
    <w:rsid w:val="00521466"/>
    <w:rsid w:val="005362BE"/>
    <w:rsid w:val="00546933"/>
    <w:rsid w:val="00553B4C"/>
    <w:rsid w:val="00590054"/>
    <w:rsid w:val="005A098B"/>
    <w:rsid w:val="005A0D61"/>
    <w:rsid w:val="005F0933"/>
    <w:rsid w:val="00627491"/>
    <w:rsid w:val="00650590"/>
    <w:rsid w:val="0065301F"/>
    <w:rsid w:val="00661A7D"/>
    <w:rsid w:val="0066561E"/>
    <w:rsid w:val="00665D4D"/>
    <w:rsid w:val="00672789"/>
    <w:rsid w:val="00675C6B"/>
    <w:rsid w:val="006A0532"/>
    <w:rsid w:val="006B1B07"/>
    <w:rsid w:val="006B6A7C"/>
    <w:rsid w:val="006C05C0"/>
    <w:rsid w:val="006C77AC"/>
    <w:rsid w:val="006E3504"/>
    <w:rsid w:val="006E5682"/>
    <w:rsid w:val="0071225B"/>
    <w:rsid w:val="00725D55"/>
    <w:rsid w:val="007315FC"/>
    <w:rsid w:val="00732BFC"/>
    <w:rsid w:val="00732EBC"/>
    <w:rsid w:val="007365B3"/>
    <w:rsid w:val="007405C8"/>
    <w:rsid w:val="00780D3B"/>
    <w:rsid w:val="00781F8E"/>
    <w:rsid w:val="007840BD"/>
    <w:rsid w:val="00791F20"/>
    <w:rsid w:val="007D31BA"/>
    <w:rsid w:val="007F39C7"/>
    <w:rsid w:val="007F5A01"/>
    <w:rsid w:val="00812CF1"/>
    <w:rsid w:val="00824A3C"/>
    <w:rsid w:val="00893B5F"/>
    <w:rsid w:val="00896FAB"/>
    <w:rsid w:val="008B6555"/>
    <w:rsid w:val="008C54E8"/>
    <w:rsid w:val="00910C1C"/>
    <w:rsid w:val="00917B07"/>
    <w:rsid w:val="00991879"/>
    <w:rsid w:val="00993A9A"/>
    <w:rsid w:val="00994392"/>
    <w:rsid w:val="009B7FF7"/>
    <w:rsid w:val="009D7359"/>
    <w:rsid w:val="009F1C6D"/>
    <w:rsid w:val="00A01F31"/>
    <w:rsid w:val="00A57208"/>
    <w:rsid w:val="00A71355"/>
    <w:rsid w:val="00A74119"/>
    <w:rsid w:val="00A75056"/>
    <w:rsid w:val="00AB4C97"/>
    <w:rsid w:val="00AE27A0"/>
    <w:rsid w:val="00AE64B6"/>
    <w:rsid w:val="00AF673A"/>
    <w:rsid w:val="00B10F2E"/>
    <w:rsid w:val="00B2213D"/>
    <w:rsid w:val="00B3598F"/>
    <w:rsid w:val="00B45AD2"/>
    <w:rsid w:val="00B6414E"/>
    <w:rsid w:val="00B9273D"/>
    <w:rsid w:val="00B96840"/>
    <w:rsid w:val="00BA53B4"/>
    <w:rsid w:val="00BB0AF4"/>
    <w:rsid w:val="00BB5FCE"/>
    <w:rsid w:val="00BC22C5"/>
    <w:rsid w:val="00BC4C0C"/>
    <w:rsid w:val="00BC7D5B"/>
    <w:rsid w:val="00BE3FBF"/>
    <w:rsid w:val="00C32126"/>
    <w:rsid w:val="00C3265A"/>
    <w:rsid w:val="00C50C23"/>
    <w:rsid w:val="00C562B5"/>
    <w:rsid w:val="00C56EF2"/>
    <w:rsid w:val="00C61B76"/>
    <w:rsid w:val="00C640EA"/>
    <w:rsid w:val="00C64DB8"/>
    <w:rsid w:val="00C7210F"/>
    <w:rsid w:val="00C8213C"/>
    <w:rsid w:val="00C82F36"/>
    <w:rsid w:val="00CA1B24"/>
    <w:rsid w:val="00CA49AE"/>
    <w:rsid w:val="00CB0EA9"/>
    <w:rsid w:val="00CE1DE2"/>
    <w:rsid w:val="00D16ACE"/>
    <w:rsid w:val="00D65FF9"/>
    <w:rsid w:val="00D820C2"/>
    <w:rsid w:val="00DA0214"/>
    <w:rsid w:val="00DA4EE4"/>
    <w:rsid w:val="00DB4A85"/>
    <w:rsid w:val="00DD6676"/>
    <w:rsid w:val="00DE4058"/>
    <w:rsid w:val="00DE776E"/>
    <w:rsid w:val="00DF4C31"/>
    <w:rsid w:val="00DF7AAF"/>
    <w:rsid w:val="00E10BB8"/>
    <w:rsid w:val="00E124D9"/>
    <w:rsid w:val="00E131EE"/>
    <w:rsid w:val="00E231A5"/>
    <w:rsid w:val="00E44EA5"/>
    <w:rsid w:val="00E4581E"/>
    <w:rsid w:val="00F26F7B"/>
    <w:rsid w:val="00F30803"/>
    <w:rsid w:val="00F6379D"/>
    <w:rsid w:val="00F829E2"/>
    <w:rsid w:val="00FA001E"/>
    <w:rsid w:val="00FA1FBC"/>
    <w:rsid w:val="00FA33B5"/>
    <w:rsid w:val="00FC170F"/>
    <w:rsid w:val="00FC35E0"/>
    <w:rsid w:val="00FD6232"/>
    <w:rsid w:val="00FE3FE2"/>
    <w:rsid w:val="00FF3A6B"/>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98086-263A-4C1D-97E5-DF247CBD7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1</Pages>
  <Words>20942</Words>
  <Characters>119376</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GOOD</cp:lastModifiedBy>
  <cp:revision>106</cp:revision>
  <cp:lastPrinted>2015-11-03T07:26:00Z</cp:lastPrinted>
  <dcterms:created xsi:type="dcterms:W3CDTF">2013-11-20T07:58:00Z</dcterms:created>
  <dcterms:modified xsi:type="dcterms:W3CDTF">2015-11-03T08:14:00Z</dcterms:modified>
</cp:coreProperties>
</file>